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4B" w:rsidRDefault="0059694B" w:rsidP="0059694B">
      <w:pPr>
        <w:spacing w:after="0" w:line="240" w:lineRule="auto"/>
        <w:jc w:val="center"/>
        <w:rPr>
          <w:b/>
        </w:rPr>
      </w:pPr>
      <w:r w:rsidRPr="0059694B">
        <w:rPr>
          <w:b/>
        </w:rPr>
        <w:t xml:space="preserve">SEMINÁRIO </w:t>
      </w:r>
      <w:r>
        <w:rPr>
          <w:b/>
        </w:rPr>
        <w:t>ESTADUAL DA BASE NACIONAL COMUM CURRICULAR</w:t>
      </w:r>
    </w:p>
    <w:p w:rsidR="0059694B" w:rsidRDefault="0059694B" w:rsidP="0059694B">
      <w:pPr>
        <w:spacing w:after="0" w:line="240" w:lineRule="auto"/>
        <w:jc w:val="center"/>
        <w:rPr>
          <w:b/>
        </w:rPr>
      </w:pPr>
      <w:r>
        <w:rPr>
          <w:b/>
        </w:rPr>
        <w:t>MARANHÃO</w:t>
      </w:r>
    </w:p>
    <w:p w:rsidR="0059694B" w:rsidRDefault="0059694B" w:rsidP="0059694B">
      <w:pPr>
        <w:spacing w:after="0" w:line="240" w:lineRule="auto"/>
        <w:jc w:val="center"/>
        <w:rPr>
          <w:b/>
        </w:rPr>
      </w:pPr>
      <w:r>
        <w:rPr>
          <w:b/>
        </w:rPr>
        <w:t>DIAS 01 E 02 DE AGOSTO DE 2016</w:t>
      </w:r>
    </w:p>
    <w:p w:rsidR="0059694B" w:rsidRDefault="0059694B" w:rsidP="0059694B">
      <w:pPr>
        <w:jc w:val="center"/>
        <w:rPr>
          <w:b/>
        </w:rPr>
      </w:pPr>
    </w:p>
    <w:p w:rsidR="0059694B" w:rsidRDefault="0059694B" w:rsidP="0059694B">
      <w:pPr>
        <w:jc w:val="center"/>
        <w:rPr>
          <w:b/>
        </w:rPr>
      </w:pPr>
      <w:r>
        <w:rPr>
          <w:b/>
        </w:rPr>
        <w:t>Relatório – Plenária Geral</w:t>
      </w:r>
    </w:p>
    <w:p w:rsidR="0059694B" w:rsidRPr="0059694B" w:rsidRDefault="0059694B" w:rsidP="0059694B">
      <w:pPr>
        <w:jc w:val="both"/>
        <w:rPr>
          <w:b/>
        </w:rPr>
      </w:pPr>
      <w:r>
        <w:rPr>
          <w:b/>
        </w:rPr>
        <w:t xml:space="preserve">OBJETIVO: Relatar as deliberações da plenária no 4º turno do Seminário Estadual da Base Comum Curricular do Maranhão, enfatizando que tais deliberações foram amplamente discutidas e votadas no coletivo. </w:t>
      </w:r>
    </w:p>
    <w:p w:rsidR="00610AA9" w:rsidRPr="0059694B" w:rsidRDefault="00610AA9">
      <w:pPr>
        <w:rPr>
          <w:b/>
        </w:rPr>
      </w:pPr>
      <w:r w:rsidRPr="0059694B">
        <w:rPr>
          <w:b/>
        </w:rPr>
        <w:t>EDUCAÇÃO INFANTIL</w:t>
      </w:r>
    </w:p>
    <w:p w:rsidR="0099359B" w:rsidRDefault="0059694B" w:rsidP="005E3A6F">
      <w:pPr>
        <w:ind w:firstLine="360"/>
        <w:jc w:val="both"/>
      </w:pPr>
      <w:r>
        <w:tab/>
      </w:r>
      <w:r w:rsidR="000E4E13">
        <w:t xml:space="preserve">Nos grupos de trabalho </w:t>
      </w:r>
      <w:r>
        <w:t>houve ampla</w:t>
      </w:r>
      <w:r w:rsidR="000E4E13">
        <w:t xml:space="preserve"> discussão so</w:t>
      </w:r>
      <w:r w:rsidR="005E3A6F">
        <w:t>bre a divisão da Educação Infantil</w:t>
      </w:r>
      <w:r w:rsidR="000E4E13">
        <w:t xml:space="preserve">. Os participantes mostraram insatisfação quanto a essa divisão. Levada </w:t>
      </w:r>
      <w:r w:rsidR="00221514">
        <w:t>à</w:t>
      </w:r>
      <w:r w:rsidR="000E4E13">
        <w:t xml:space="preserve"> plenária, </w:t>
      </w:r>
      <w:r w:rsidR="00E22D25">
        <w:t>essa distribuição</w:t>
      </w:r>
      <w:r w:rsidR="00221514">
        <w:t xml:space="preserve"> da etapa </w:t>
      </w:r>
      <w:r w:rsidR="005E3A6F">
        <w:t>foi colocada</w:t>
      </w:r>
      <w:r w:rsidR="000E4E13">
        <w:t xml:space="preserve"> em votação. Venceu a sugestão que divide a etapa da Educação Infantil em: Creche e Pré-escola</w:t>
      </w:r>
      <w:r>
        <w:t xml:space="preserve">, devendo os objetivos de aprendizagem </w:t>
      </w:r>
      <w:proofErr w:type="spellStart"/>
      <w:r>
        <w:t>sere</w:t>
      </w:r>
      <w:proofErr w:type="spellEnd"/>
      <w:r>
        <w:t xml:space="preserve"> redistribuídos nestas dois grupos.</w:t>
      </w:r>
    </w:p>
    <w:p w:rsidR="0099359B" w:rsidRPr="00DC46FA" w:rsidRDefault="00DC46FA" w:rsidP="0099359B">
      <w:pPr>
        <w:rPr>
          <w:b/>
        </w:rPr>
      </w:pPr>
      <w:r w:rsidRPr="00DC46FA">
        <w:rPr>
          <w:b/>
        </w:rPr>
        <w:t>ENSINO FUNDAMENTAL I</w:t>
      </w:r>
    </w:p>
    <w:p w:rsidR="00B717C1" w:rsidRDefault="0059694B" w:rsidP="00E22D25">
      <w:pPr>
        <w:jc w:val="both"/>
        <w:rPr>
          <w:i/>
        </w:rPr>
      </w:pPr>
      <w:r>
        <w:tab/>
      </w:r>
      <w:r w:rsidR="00221514">
        <w:t>Na apresentação dos dados consolidados do Ensi</w:t>
      </w:r>
      <w:r>
        <w:t>no Fundamental (anos iniciais</w:t>
      </w:r>
      <w:proofErr w:type="gramStart"/>
      <w:r>
        <w:t xml:space="preserve">), </w:t>
      </w:r>
      <w:r w:rsidR="00221514">
        <w:t xml:space="preserve"> professores</w:t>
      </w:r>
      <w:proofErr w:type="gramEnd"/>
      <w:r w:rsidR="00221514">
        <w:t xml:space="preserve"> de Educação Física se manife</w:t>
      </w:r>
      <w:r w:rsidR="005E3A6F">
        <w:t xml:space="preserve">staram, sugerindo que o componente Educação Física nos anos iniciais deve ser ministrado por um profissional com formação adequada, pois o professor </w:t>
      </w:r>
      <w:proofErr w:type="spellStart"/>
      <w:r w:rsidR="005E3A6F">
        <w:t>unidocente</w:t>
      </w:r>
      <w:proofErr w:type="spellEnd"/>
      <w:r w:rsidR="005E3A6F">
        <w:t xml:space="preserve"> não possui formação para esse trabalho, ainda tratando a área de Educação Física como apenas recreação. A redatora </w:t>
      </w:r>
      <w:proofErr w:type="spellStart"/>
      <w:r w:rsidR="005E3A6F">
        <w:t>Janilma</w:t>
      </w:r>
      <w:proofErr w:type="spellEnd"/>
      <w:r w:rsidR="005E3A6F">
        <w:t xml:space="preserve"> </w:t>
      </w:r>
      <w:r w:rsidR="000B4680">
        <w:t>Ramalho do GT Educação Fundamental I (1º, 2º e 3º ano) esclareceu que essa dificuldade foi discutida durante os trabalhos de análise</w:t>
      </w:r>
      <w:r w:rsidR="008D2E20">
        <w:t xml:space="preserve"> e que, para a garantia dos direitos expressos na Base, faz-se necessário </w:t>
      </w:r>
      <w:r w:rsidR="00E22D25">
        <w:t xml:space="preserve">um profissional de </w:t>
      </w:r>
      <w:proofErr w:type="gramStart"/>
      <w:r w:rsidR="00E22D25">
        <w:t xml:space="preserve">Educação </w:t>
      </w:r>
      <w:r w:rsidR="008D2E20">
        <w:t xml:space="preserve"> </w:t>
      </w:r>
      <w:r w:rsidR="00E22D25">
        <w:t>Física</w:t>
      </w:r>
      <w:proofErr w:type="gramEnd"/>
      <w:r w:rsidR="00E22D25">
        <w:t xml:space="preserve"> para trabalhar esse componente. Colocada para a Plenária, acatou-se a sugestão de incluir, nos anos iniciais, </w:t>
      </w:r>
      <w:r w:rsidR="00B717C1" w:rsidRPr="00DD6290">
        <w:rPr>
          <w:i/>
        </w:rPr>
        <w:t>a presença do professor da</w:t>
      </w:r>
      <w:r>
        <w:rPr>
          <w:i/>
        </w:rPr>
        <w:t xml:space="preserve"> área de educação para </w:t>
      </w:r>
      <w:r w:rsidR="00A3229B" w:rsidRPr="00DD6290">
        <w:rPr>
          <w:i/>
        </w:rPr>
        <w:t>avaliar os objetivos de aprendizagem</w:t>
      </w:r>
      <w:r w:rsidR="00AD28D2">
        <w:rPr>
          <w:i/>
        </w:rPr>
        <w:t>.</w:t>
      </w:r>
    </w:p>
    <w:p w:rsidR="0059694B" w:rsidRPr="00DD6290" w:rsidRDefault="0059694B" w:rsidP="00E22D25">
      <w:pPr>
        <w:jc w:val="both"/>
        <w:rPr>
          <w:i/>
        </w:rPr>
      </w:pPr>
      <w:r>
        <w:rPr>
          <w:i/>
        </w:rPr>
        <w:tab/>
        <w:t>O mesmo se deu com professores de Arte, língua estrangeira e Religião.</w:t>
      </w:r>
    </w:p>
    <w:p w:rsidR="00DD6290" w:rsidRDefault="00DD6290" w:rsidP="00DD6290">
      <w:pPr>
        <w:rPr>
          <w:b/>
        </w:rPr>
      </w:pPr>
      <w:r w:rsidRPr="00DC46FA">
        <w:rPr>
          <w:b/>
        </w:rPr>
        <w:t>ENSINO FUNDAMENTAL I</w:t>
      </w:r>
      <w:r>
        <w:rPr>
          <w:b/>
        </w:rPr>
        <w:t>I</w:t>
      </w:r>
    </w:p>
    <w:p w:rsidR="003C391B" w:rsidRDefault="003C391B" w:rsidP="009B6A30">
      <w:pPr>
        <w:pStyle w:val="PargrafodaLista"/>
        <w:numPr>
          <w:ilvl w:val="0"/>
          <w:numId w:val="7"/>
        </w:numPr>
      </w:pPr>
      <w:r w:rsidRPr="003C391B">
        <w:t>GEOGRAFIA</w:t>
      </w:r>
    </w:p>
    <w:p w:rsidR="003C391B" w:rsidRDefault="0059694B" w:rsidP="0059694B">
      <w:pPr>
        <w:jc w:val="both"/>
      </w:pPr>
      <w:r>
        <w:tab/>
      </w:r>
      <w:r w:rsidR="005C1FCB">
        <w:t>Segundo os</w:t>
      </w:r>
      <w:r>
        <w:t xml:space="preserve"> professores </w:t>
      </w:r>
      <w:r w:rsidR="005C1FCB">
        <w:t>especialistas, n</w:t>
      </w:r>
      <w:r w:rsidR="003C391B">
        <w:t>a estrutura</w:t>
      </w:r>
      <w:r w:rsidR="00A2566D">
        <w:t xml:space="preserve">, </w:t>
      </w:r>
      <w:r w:rsidR="005C1FCB">
        <w:t xml:space="preserve">a Base apresenta uma </w:t>
      </w:r>
      <w:proofErr w:type="gramStart"/>
      <w:r w:rsidR="005C1FCB">
        <w:t>progressão  do</w:t>
      </w:r>
      <w:proofErr w:type="gramEnd"/>
      <w:r w:rsidR="005C1FCB">
        <w:t xml:space="preserve"> 6º para</w:t>
      </w:r>
      <w:r w:rsidR="003C391B">
        <w:t xml:space="preserve"> </w:t>
      </w:r>
      <w:r w:rsidR="005C1FCB">
        <w:t xml:space="preserve">o </w:t>
      </w:r>
      <w:r w:rsidR="003C391B">
        <w:t>7º</w:t>
      </w:r>
      <w:r w:rsidR="005C1FCB">
        <w:t xml:space="preserve"> ano, mas não há do 8º para o 9º ano.</w:t>
      </w:r>
    </w:p>
    <w:p w:rsidR="00A2566D" w:rsidRPr="0059694B" w:rsidRDefault="00A2566D" w:rsidP="009B6A30">
      <w:pPr>
        <w:pStyle w:val="PargrafodaLista"/>
        <w:numPr>
          <w:ilvl w:val="0"/>
          <w:numId w:val="7"/>
        </w:numPr>
      </w:pPr>
      <w:r w:rsidRPr="0059694B">
        <w:t>ARTE</w:t>
      </w:r>
    </w:p>
    <w:p w:rsidR="0059694B" w:rsidRDefault="0059694B" w:rsidP="0059694B">
      <w:r>
        <w:tab/>
      </w:r>
      <w:r w:rsidR="00AD28D2" w:rsidRPr="0059694B">
        <w:t>Precisam-se garantir profissionais da área para avaliar os objetivos</w:t>
      </w:r>
      <w:r>
        <w:t>, pois os professores que ministram arte na escola são de outras disciplinas. Principalmente nas redes municipais</w:t>
      </w:r>
      <w:r w:rsidR="00AD28D2" w:rsidRPr="0059694B">
        <w:t>.</w:t>
      </w:r>
      <w:r>
        <w:t xml:space="preserve"> Tivemos que relocar alguns professores do GT de ARTE EM para EF2.</w:t>
      </w:r>
    </w:p>
    <w:p w:rsidR="0059694B" w:rsidRDefault="0059694B" w:rsidP="0059694B">
      <w:r>
        <w:tab/>
        <w:t>Com relação à progressão de conhecimentos no ensino fundamental, os professores de Arte entenderam que não há essa evolução dos anos iniciais para os anos finais. E muito menos dos Anos finais para o Ensino Médio</w:t>
      </w:r>
    </w:p>
    <w:p w:rsidR="00AD28D2" w:rsidRPr="0059694B" w:rsidRDefault="00AD28D2" w:rsidP="009B6A30">
      <w:pPr>
        <w:pStyle w:val="PargrafodaLista"/>
        <w:numPr>
          <w:ilvl w:val="0"/>
          <w:numId w:val="7"/>
        </w:numPr>
      </w:pPr>
      <w:r w:rsidRPr="0059694B">
        <w:t xml:space="preserve">MATEMÁTICA </w:t>
      </w:r>
    </w:p>
    <w:p w:rsidR="00AD28D2" w:rsidRPr="0059694B" w:rsidRDefault="0059694B" w:rsidP="00AD28D2">
      <w:pPr>
        <w:jc w:val="both"/>
      </w:pPr>
      <w:r>
        <w:lastRenderedPageBreak/>
        <w:tab/>
        <w:t xml:space="preserve">Há problemas de progressão entre as etapas: EF 1, EF 2 e EM, e a metodologia e tempo do seminário não permitiu uma análise detalhada disso. </w:t>
      </w:r>
      <w:r w:rsidR="00AD28D2" w:rsidRPr="0059694B">
        <w:t>Como saber com clareza se os alunos adquiriram quais direitos de a</w:t>
      </w:r>
      <w:r>
        <w:t>prendizagem dos anos anteriores?</w:t>
      </w:r>
    </w:p>
    <w:p w:rsidR="00AD28D2" w:rsidRDefault="00AD28D2" w:rsidP="0059694B">
      <w:pPr>
        <w:pStyle w:val="PargrafodaLista"/>
        <w:numPr>
          <w:ilvl w:val="0"/>
          <w:numId w:val="7"/>
        </w:numPr>
        <w:jc w:val="both"/>
      </w:pPr>
      <w:r w:rsidRPr="0059694B">
        <w:t>HISTÓRIA</w:t>
      </w:r>
    </w:p>
    <w:p w:rsidR="0059694B" w:rsidRPr="0059694B" w:rsidRDefault="0059694B" w:rsidP="0059694B">
      <w:pPr>
        <w:pStyle w:val="PargrafodaLista"/>
        <w:jc w:val="both"/>
      </w:pPr>
    </w:p>
    <w:p w:rsidR="00244909" w:rsidRDefault="0059694B" w:rsidP="0059694B">
      <w:pPr>
        <w:pStyle w:val="PargrafodaLista"/>
        <w:ind w:left="0"/>
        <w:jc w:val="both"/>
      </w:pPr>
      <w:r>
        <w:tab/>
      </w:r>
      <w:r w:rsidR="007D4A3D">
        <w:t>Foi colocado em plenária</w:t>
      </w:r>
      <w:r w:rsidR="00244909">
        <w:t xml:space="preserve"> </w:t>
      </w:r>
      <w:proofErr w:type="gramStart"/>
      <w:r w:rsidR="00244909">
        <w:t xml:space="preserve">que </w:t>
      </w:r>
      <w:r w:rsidR="00AD28D2">
        <w:t xml:space="preserve"> </w:t>
      </w:r>
      <w:r w:rsidR="007D4A3D">
        <w:t>os</w:t>
      </w:r>
      <w:proofErr w:type="gramEnd"/>
      <w:r w:rsidR="007D4A3D">
        <w:t xml:space="preserve"> </w:t>
      </w:r>
      <w:r w:rsidR="00AD28D2">
        <w:t>objetivos</w:t>
      </w:r>
      <w:r w:rsidR="00244909">
        <w:t xml:space="preserve"> de aprendizagem </w:t>
      </w:r>
      <w:r w:rsidR="007D4A3D">
        <w:t xml:space="preserve">de História </w:t>
      </w:r>
      <w:r w:rsidR="00244909">
        <w:t xml:space="preserve">estão dispostos de forma aleatória, </w:t>
      </w:r>
      <w:r w:rsidR="007D4A3D">
        <w:t xml:space="preserve">precisam </w:t>
      </w:r>
      <w:r w:rsidR="00244909">
        <w:t>ser</w:t>
      </w:r>
      <w:r w:rsidR="007D4A3D">
        <w:t xml:space="preserve"> ordenados. Sugestão aprovada </w:t>
      </w:r>
      <w:proofErr w:type="gramStart"/>
      <w:r w:rsidR="007D4A3D">
        <w:t xml:space="preserve">pela </w:t>
      </w:r>
      <w:r w:rsidR="00244909">
        <w:t xml:space="preserve"> plenária</w:t>
      </w:r>
      <w:proofErr w:type="gramEnd"/>
      <w:r w:rsidR="00244909">
        <w:t>.</w:t>
      </w:r>
      <w:r>
        <w:t xml:space="preserve"> </w:t>
      </w:r>
      <w:r>
        <w:tab/>
      </w:r>
      <w:r w:rsidR="00244909">
        <w:t>Os objetivos de aprendizagem do 8º e 9º ano estão invertidos, necessitando ser ordenados.</w:t>
      </w:r>
    </w:p>
    <w:p w:rsidR="002F6148" w:rsidRDefault="0059694B" w:rsidP="0059694B">
      <w:pPr>
        <w:pStyle w:val="PargrafodaLista"/>
        <w:ind w:left="0"/>
        <w:jc w:val="both"/>
      </w:pPr>
      <w:r>
        <w:tab/>
      </w:r>
      <w:r w:rsidR="00244909">
        <w:t>Outro problema</w:t>
      </w:r>
      <w:r w:rsidR="00427AFA">
        <w:t>, segundo os especialistas</w:t>
      </w:r>
      <w:r>
        <w:t>, que consta na Base, é quanto o uso de algumas</w:t>
      </w:r>
      <w:r w:rsidR="00427AFA">
        <w:t xml:space="preserve"> terminologia</w:t>
      </w:r>
      <w:r>
        <w:t>s</w:t>
      </w:r>
      <w:r w:rsidR="00427AFA">
        <w:t xml:space="preserve">. </w:t>
      </w:r>
      <w:r w:rsidR="00244909">
        <w:t xml:space="preserve"> </w:t>
      </w:r>
      <w:r>
        <w:t>Por exemplo o termo</w:t>
      </w:r>
      <w:r w:rsidR="00427AFA">
        <w:t xml:space="preserve"> “escravo” presente nos objetivos de aprendizag</w:t>
      </w:r>
      <w:r>
        <w:t xml:space="preserve">em do componente História devem ser substituídos por “negros em condição de escravos”. </w:t>
      </w:r>
    </w:p>
    <w:p w:rsidR="009B6A30" w:rsidRPr="0059694B" w:rsidRDefault="009B6A30" w:rsidP="0059694B">
      <w:pPr>
        <w:pStyle w:val="PargrafodaLista"/>
        <w:jc w:val="both"/>
      </w:pPr>
    </w:p>
    <w:p w:rsidR="002F6148" w:rsidRPr="00F4421B" w:rsidRDefault="00791D45" w:rsidP="002F6148">
      <w:pPr>
        <w:rPr>
          <w:b/>
        </w:rPr>
      </w:pPr>
      <w:r w:rsidRPr="00F4421B">
        <w:rPr>
          <w:b/>
        </w:rPr>
        <w:t>ENSINO MÉDIO</w:t>
      </w:r>
    </w:p>
    <w:p w:rsidR="00DD18A2" w:rsidRPr="0059694B" w:rsidRDefault="00F4421B" w:rsidP="008B7DE4">
      <w:pPr>
        <w:pStyle w:val="PargrafodaLista"/>
        <w:numPr>
          <w:ilvl w:val="0"/>
          <w:numId w:val="8"/>
        </w:numPr>
      </w:pPr>
      <w:r w:rsidRPr="0059694B">
        <w:t>SOCIOLOGIA</w:t>
      </w:r>
    </w:p>
    <w:p w:rsidR="0059694B" w:rsidRDefault="0059694B" w:rsidP="0059694B">
      <w:pPr>
        <w:pStyle w:val="PargrafodaLista"/>
        <w:ind w:left="142"/>
      </w:pPr>
      <w:r>
        <w:tab/>
      </w:r>
      <w:r w:rsidRPr="0059694B">
        <w:t>Na opinião dos</w:t>
      </w:r>
      <w:r>
        <w:t xml:space="preserve"> professores há muitos conhecimentos que ficaram ausentes nos Objetivos desta disciplina.</w:t>
      </w:r>
    </w:p>
    <w:p w:rsidR="006814E8" w:rsidRPr="0059694B" w:rsidRDefault="006814E8" w:rsidP="0059694B">
      <w:pPr>
        <w:pStyle w:val="PargrafodaLista"/>
        <w:ind w:left="142"/>
      </w:pPr>
    </w:p>
    <w:p w:rsidR="008B7DE4" w:rsidRPr="0059694B" w:rsidRDefault="006010F5" w:rsidP="008B7DE4">
      <w:pPr>
        <w:pStyle w:val="PargrafodaLista"/>
        <w:numPr>
          <w:ilvl w:val="0"/>
          <w:numId w:val="8"/>
        </w:numPr>
      </w:pPr>
      <w:r w:rsidRPr="0059694B">
        <w:t>LÍNGUA PORTUGUESA</w:t>
      </w:r>
    </w:p>
    <w:p w:rsidR="006010F5" w:rsidRDefault="0059694B" w:rsidP="0059694B">
      <w:pPr>
        <w:pStyle w:val="PargrafodaLista"/>
        <w:ind w:left="142"/>
        <w:jc w:val="both"/>
      </w:pPr>
      <w:r>
        <w:tab/>
      </w:r>
      <w:r w:rsidR="006010F5" w:rsidRPr="006010F5">
        <w:t xml:space="preserve">A Base apresenta </w:t>
      </w:r>
      <w:r w:rsidR="006010F5">
        <w:t>objetivos de aprendizagem repetidos. Considerando que esses objetivos estão distribuídos por unidades, podendo ser trabalhados em qualquer série do ensino médio, torna-se desnecessário essa repetição.</w:t>
      </w:r>
    </w:p>
    <w:p w:rsidR="006010F5" w:rsidRDefault="006010F5" w:rsidP="006010F5">
      <w:pPr>
        <w:pStyle w:val="PargrafodaLista"/>
        <w:jc w:val="both"/>
      </w:pPr>
      <w:r>
        <w:t xml:space="preserve"> Segue os códigos dos objetivos de aprendizagem que apresentam o mesmo texto:</w:t>
      </w:r>
    </w:p>
    <w:p w:rsidR="006010F5" w:rsidRDefault="006010F5" w:rsidP="006010F5">
      <w:pPr>
        <w:pStyle w:val="PargrafodaLista"/>
        <w:numPr>
          <w:ilvl w:val="0"/>
          <w:numId w:val="9"/>
        </w:numPr>
        <w:jc w:val="both"/>
      </w:pPr>
      <w:r>
        <w:t>EM12LI02 / EM13LI02</w:t>
      </w:r>
    </w:p>
    <w:p w:rsidR="006010F5" w:rsidRDefault="006010F5" w:rsidP="006010F5">
      <w:pPr>
        <w:pStyle w:val="PargrafodaLista"/>
        <w:numPr>
          <w:ilvl w:val="0"/>
          <w:numId w:val="9"/>
        </w:numPr>
        <w:jc w:val="both"/>
      </w:pPr>
      <w:r>
        <w:t>EM12LI03 / EM13LI03</w:t>
      </w:r>
    </w:p>
    <w:p w:rsidR="006010F5" w:rsidRDefault="006010F5" w:rsidP="006010F5">
      <w:pPr>
        <w:pStyle w:val="PargrafodaLista"/>
        <w:numPr>
          <w:ilvl w:val="0"/>
          <w:numId w:val="9"/>
        </w:numPr>
        <w:jc w:val="both"/>
      </w:pPr>
      <w:r>
        <w:t>EM12LI04 / EM13LI04</w:t>
      </w:r>
    </w:p>
    <w:p w:rsidR="006010F5" w:rsidRDefault="006010F5" w:rsidP="006010F5">
      <w:pPr>
        <w:pStyle w:val="PargrafodaLista"/>
        <w:numPr>
          <w:ilvl w:val="0"/>
          <w:numId w:val="9"/>
        </w:numPr>
        <w:jc w:val="both"/>
      </w:pPr>
      <w:r>
        <w:t>EM12LI05 / EM13LI05</w:t>
      </w:r>
    </w:p>
    <w:p w:rsidR="006010F5" w:rsidRDefault="006010F5" w:rsidP="006010F5">
      <w:pPr>
        <w:pStyle w:val="PargrafodaLista"/>
        <w:numPr>
          <w:ilvl w:val="0"/>
          <w:numId w:val="9"/>
        </w:numPr>
        <w:jc w:val="both"/>
      </w:pPr>
      <w:r>
        <w:t>EM12LI06 / EM13LI06</w:t>
      </w:r>
    </w:p>
    <w:p w:rsidR="006010F5" w:rsidRDefault="006010F5" w:rsidP="006010F5">
      <w:pPr>
        <w:pStyle w:val="PargrafodaLista"/>
        <w:numPr>
          <w:ilvl w:val="0"/>
          <w:numId w:val="9"/>
        </w:numPr>
        <w:jc w:val="both"/>
      </w:pPr>
      <w:r>
        <w:t>EM12LI07 / EM13LI07</w:t>
      </w:r>
    </w:p>
    <w:p w:rsidR="00CB392D" w:rsidRDefault="00CB392D" w:rsidP="00CB392D">
      <w:pPr>
        <w:pStyle w:val="PargrafodaLista"/>
        <w:numPr>
          <w:ilvl w:val="0"/>
          <w:numId w:val="9"/>
        </w:numPr>
        <w:jc w:val="both"/>
      </w:pPr>
      <w:r>
        <w:t>EM14LI12 / EM16LI12</w:t>
      </w:r>
    </w:p>
    <w:p w:rsidR="006814E8" w:rsidRDefault="006814E8" w:rsidP="006814E8">
      <w:pPr>
        <w:pStyle w:val="PargrafodaLista"/>
        <w:ind w:left="1125"/>
        <w:jc w:val="both"/>
      </w:pPr>
    </w:p>
    <w:p w:rsidR="007F6D8A" w:rsidRPr="0059694B" w:rsidRDefault="007F6D8A" w:rsidP="007F6D8A">
      <w:pPr>
        <w:pStyle w:val="PargrafodaLista"/>
        <w:numPr>
          <w:ilvl w:val="0"/>
          <w:numId w:val="8"/>
        </w:numPr>
        <w:jc w:val="both"/>
      </w:pPr>
      <w:r w:rsidRPr="0059694B">
        <w:t>MATEMÁTICA</w:t>
      </w:r>
    </w:p>
    <w:p w:rsidR="007F6D8A" w:rsidRDefault="007F6D8A" w:rsidP="007F6D8A">
      <w:pPr>
        <w:pStyle w:val="PargrafodaLista"/>
        <w:jc w:val="both"/>
      </w:pPr>
      <w:r>
        <w:t>O componente Matemática apresenta 13 objetivos repetidos.</w:t>
      </w:r>
    </w:p>
    <w:p w:rsidR="006814E8" w:rsidRDefault="006814E8" w:rsidP="007F6D8A">
      <w:pPr>
        <w:pStyle w:val="PargrafodaLista"/>
        <w:jc w:val="both"/>
      </w:pPr>
    </w:p>
    <w:p w:rsidR="006814E8" w:rsidRDefault="006814E8" w:rsidP="006814E8">
      <w:pPr>
        <w:pStyle w:val="PargrafodaLista"/>
        <w:numPr>
          <w:ilvl w:val="0"/>
          <w:numId w:val="8"/>
        </w:numPr>
        <w:jc w:val="both"/>
      </w:pPr>
      <w:r>
        <w:t>HISTÓRIA</w:t>
      </w:r>
    </w:p>
    <w:p w:rsidR="006814E8" w:rsidRPr="000572C2" w:rsidRDefault="006814E8" w:rsidP="006814E8">
      <w:pPr>
        <w:pStyle w:val="PargrafodaLista"/>
        <w:ind w:left="0"/>
        <w:jc w:val="both"/>
      </w:pPr>
      <w:r>
        <w:tab/>
      </w:r>
      <w:r w:rsidRPr="000572C2">
        <w:t>Há maior capacidade de abstração e reflexão n</w:t>
      </w:r>
      <w:r>
        <w:t xml:space="preserve">a etapa Ensino Médio, nesse contexto, </w:t>
      </w:r>
      <w:r w:rsidRPr="000572C2">
        <w:t>a área de humanas contribui para o desenvolvimento dos eixos de formação propostos pela BNCC, à medida que trata de questões relacionadas às temporalidades, espacialidades e às relações estabelecidas pelas diversas sociedades, tendo como foco a análise do processo de formação e transformação histórica dos grupamentos humanos em suas diversas realidades. Assim como, contribui para o desenvolvimento da compreensão crítica do mundo contemporâneo, principalmente as atinentes às questões sociais, éticas e políticas.</w:t>
      </w:r>
    </w:p>
    <w:p w:rsidR="006814E8" w:rsidRDefault="006814E8" w:rsidP="006814E8">
      <w:pPr>
        <w:jc w:val="both"/>
      </w:pPr>
    </w:p>
    <w:p w:rsidR="007F6D8A" w:rsidRDefault="007F6D8A" w:rsidP="007F6D8A">
      <w:pPr>
        <w:pStyle w:val="PargrafodaLista"/>
        <w:jc w:val="both"/>
      </w:pPr>
    </w:p>
    <w:p w:rsidR="007F6D8A" w:rsidRDefault="0059694B" w:rsidP="0059694B">
      <w:pPr>
        <w:pStyle w:val="PargrafodaLista"/>
        <w:ind w:left="0"/>
        <w:jc w:val="both"/>
      </w:pPr>
      <w:r w:rsidRPr="0059694B">
        <w:rPr>
          <w:b/>
        </w:rPr>
        <w:t xml:space="preserve">Decisão Geral da plenária sobre o Ensino Médio: </w:t>
      </w:r>
      <w:r w:rsidR="00881568">
        <w:t>A distribuição dos objetivos de a</w:t>
      </w:r>
      <w:r>
        <w:t xml:space="preserve">prendizagem por unidades </w:t>
      </w:r>
      <w:r w:rsidR="00881568">
        <w:t xml:space="preserve">foi questionado pelos </w:t>
      </w:r>
      <w:proofErr w:type="spellStart"/>
      <w:r w:rsidR="00881568">
        <w:t>GTs</w:t>
      </w:r>
      <w:proofErr w:type="spellEnd"/>
      <w:r w:rsidR="00881568">
        <w:t xml:space="preserve"> do ensino médio. </w:t>
      </w:r>
      <w:r>
        <w:t xml:space="preserve">Apontando que a </w:t>
      </w:r>
      <w:r w:rsidR="00881568">
        <w:t xml:space="preserve">estrutura seria mais eficiente </w:t>
      </w:r>
      <w:r>
        <w:t xml:space="preserve">por série, </w:t>
      </w:r>
      <w:r w:rsidR="00881568">
        <w:t>porque favorece o acompanhamento das aprendizagens dos estudantes em caso de transferência de escola.</w:t>
      </w:r>
      <w:r>
        <w:t xml:space="preserve"> </w:t>
      </w:r>
      <w:r w:rsidR="007F6D8A">
        <w:t>A or</w:t>
      </w:r>
      <w:r>
        <w:t>ganização curricular foi levada</w:t>
      </w:r>
      <w:r w:rsidR="007F6D8A">
        <w:t xml:space="preserve"> à votação em plenária</w:t>
      </w:r>
      <w:r>
        <w:t xml:space="preserve"> sendo decidido sugerir à comissão nacional da base a organização do Ensino Médio por série.</w:t>
      </w:r>
    </w:p>
    <w:p w:rsidR="00E05BA8" w:rsidRDefault="00E05BA8" w:rsidP="00E05BA8">
      <w:pPr>
        <w:jc w:val="right"/>
        <w:rPr>
          <w:sz w:val="24"/>
          <w:szCs w:val="24"/>
        </w:rPr>
      </w:pPr>
      <w:r>
        <w:rPr>
          <w:sz w:val="24"/>
          <w:szCs w:val="24"/>
        </w:rPr>
        <w:t>São Luís, 05.08.2106</w:t>
      </w:r>
    </w:p>
    <w:p w:rsidR="006814E8" w:rsidRDefault="006814E8" w:rsidP="00E05BA8">
      <w:pPr>
        <w:jc w:val="right"/>
        <w:rPr>
          <w:sz w:val="24"/>
          <w:szCs w:val="24"/>
        </w:rPr>
      </w:pPr>
    </w:p>
    <w:tbl>
      <w:tblPr>
        <w:tblStyle w:val="Tabelacomgrade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E05BA8" w:rsidTr="001A7EAE">
        <w:trPr>
          <w:trHeight w:val="326"/>
        </w:trPr>
        <w:tc>
          <w:tcPr>
            <w:tcW w:w="4577" w:type="dxa"/>
          </w:tcPr>
          <w:p w:rsidR="00E05BA8" w:rsidRDefault="00E05BA8" w:rsidP="001A7EA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D3F4C95" wp14:editId="3069F08F">
                  <wp:extent cx="1908175" cy="445135"/>
                  <wp:effectExtent l="0" t="0" r="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7" w:type="dxa"/>
          </w:tcPr>
          <w:p w:rsidR="00E05BA8" w:rsidRDefault="00E05BA8" w:rsidP="001A7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B3E5E4F" wp14:editId="52B4FE06">
                  <wp:extent cx="1987550" cy="219710"/>
                  <wp:effectExtent l="0" t="0" r="0" b="889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BA8" w:rsidTr="001A7EAE">
        <w:trPr>
          <w:trHeight w:val="198"/>
        </w:trPr>
        <w:tc>
          <w:tcPr>
            <w:tcW w:w="4577" w:type="dxa"/>
          </w:tcPr>
          <w:p w:rsidR="00E05BA8" w:rsidRDefault="00E05BA8" w:rsidP="001A7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Silvana Maria Machado Bastos</w:t>
            </w:r>
          </w:p>
          <w:p w:rsidR="00E05BA8" w:rsidRDefault="00E05BA8" w:rsidP="001A7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Coordenadora Estadual (SEDUC/MA)</w:t>
            </w:r>
          </w:p>
        </w:tc>
        <w:tc>
          <w:tcPr>
            <w:tcW w:w="4577" w:type="dxa"/>
          </w:tcPr>
          <w:p w:rsidR="00E05BA8" w:rsidRDefault="00E05BA8" w:rsidP="001A7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</w:t>
            </w:r>
            <w:proofErr w:type="spellStart"/>
            <w:r>
              <w:rPr>
                <w:sz w:val="24"/>
                <w:szCs w:val="24"/>
              </w:rPr>
              <w:t>Gorethi</w:t>
            </w:r>
            <w:proofErr w:type="spellEnd"/>
            <w:r>
              <w:rPr>
                <w:sz w:val="24"/>
                <w:szCs w:val="24"/>
              </w:rPr>
              <w:t xml:space="preserve"> dos Santos Camelo</w:t>
            </w:r>
          </w:p>
          <w:p w:rsidR="00E05BA8" w:rsidRDefault="00E05BA8" w:rsidP="001A7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Coordenadora Estadual (UNDIME/MA)</w:t>
            </w:r>
          </w:p>
        </w:tc>
      </w:tr>
    </w:tbl>
    <w:p w:rsidR="00E05BA8" w:rsidRDefault="00E05BA8" w:rsidP="00E05BA8">
      <w:pPr>
        <w:pStyle w:val="PargrafodaLista"/>
        <w:ind w:left="0"/>
        <w:jc w:val="both"/>
      </w:pPr>
    </w:p>
    <w:sectPr w:rsidR="00E05BA8" w:rsidSect="00596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58" w:rsidRDefault="00D17958" w:rsidP="000E50A5">
      <w:pPr>
        <w:spacing w:after="0" w:line="240" w:lineRule="auto"/>
      </w:pPr>
      <w:r>
        <w:separator/>
      </w:r>
    </w:p>
  </w:endnote>
  <w:endnote w:type="continuationSeparator" w:id="0">
    <w:p w:rsidR="00D17958" w:rsidRDefault="00D17958" w:rsidP="000E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A5" w:rsidRDefault="000E50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A5" w:rsidRDefault="000E50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A5" w:rsidRDefault="000E50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58" w:rsidRDefault="00D17958" w:rsidP="000E50A5">
      <w:pPr>
        <w:spacing w:after="0" w:line="240" w:lineRule="auto"/>
      </w:pPr>
      <w:r>
        <w:separator/>
      </w:r>
    </w:p>
  </w:footnote>
  <w:footnote w:type="continuationSeparator" w:id="0">
    <w:p w:rsidR="00D17958" w:rsidRDefault="00D17958" w:rsidP="000E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A5" w:rsidRDefault="000E50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32862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0E50A5" w:rsidRDefault="000E50A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E50A5" w:rsidRDefault="000E50A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0A5" w:rsidRDefault="000E50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11A26"/>
    <w:multiLevelType w:val="hybridMultilevel"/>
    <w:tmpl w:val="D464C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462C4"/>
    <w:multiLevelType w:val="hybridMultilevel"/>
    <w:tmpl w:val="8E34D2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74C53"/>
    <w:multiLevelType w:val="hybridMultilevel"/>
    <w:tmpl w:val="26F609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00573"/>
    <w:multiLevelType w:val="hybridMultilevel"/>
    <w:tmpl w:val="B85E70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2443"/>
    <w:multiLevelType w:val="hybridMultilevel"/>
    <w:tmpl w:val="A20E8EE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FF1CC2"/>
    <w:multiLevelType w:val="hybridMultilevel"/>
    <w:tmpl w:val="9B9657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E2041"/>
    <w:multiLevelType w:val="hybridMultilevel"/>
    <w:tmpl w:val="933CCC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B6A08"/>
    <w:multiLevelType w:val="hybridMultilevel"/>
    <w:tmpl w:val="0EB482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03772"/>
    <w:multiLevelType w:val="hybridMultilevel"/>
    <w:tmpl w:val="A44A1C58"/>
    <w:lvl w:ilvl="0" w:tplc="9D0EAB6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9B"/>
    <w:rsid w:val="00005E55"/>
    <w:rsid w:val="000B4680"/>
    <w:rsid w:val="000E4E13"/>
    <w:rsid w:val="000E50A5"/>
    <w:rsid w:val="001115AF"/>
    <w:rsid w:val="00221514"/>
    <w:rsid w:val="00244909"/>
    <w:rsid w:val="002E3CCF"/>
    <w:rsid w:val="002F6148"/>
    <w:rsid w:val="003C391B"/>
    <w:rsid w:val="00427AFA"/>
    <w:rsid w:val="00572C29"/>
    <w:rsid w:val="0059694B"/>
    <w:rsid w:val="005C1FCB"/>
    <w:rsid w:val="005E3A6F"/>
    <w:rsid w:val="006010F5"/>
    <w:rsid w:val="00610AA9"/>
    <w:rsid w:val="00675AB6"/>
    <w:rsid w:val="006814E8"/>
    <w:rsid w:val="00791D45"/>
    <w:rsid w:val="007C10B2"/>
    <w:rsid w:val="007D4A3D"/>
    <w:rsid w:val="007F6D8A"/>
    <w:rsid w:val="008140BE"/>
    <w:rsid w:val="00881568"/>
    <w:rsid w:val="008B2403"/>
    <w:rsid w:val="008B7DE4"/>
    <w:rsid w:val="008D2E20"/>
    <w:rsid w:val="00924FEF"/>
    <w:rsid w:val="0092781F"/>
    <w:rsid w:val="0099359B"/>
    <w:rsid w:val="009B6A30"/>
    <w:rsid w:val="00A2566D"/>
    <w:rsid w:val="00A3229B"/>
    <w:rsid w:val="00AD28D2"/>
    <w:rsid w:val="00B717C1"/>
    <w:rsid w:val="00BE5672"/>
    <w:rsid w:val="00C5727A"/>
    <w:rsid w:val="00CB392D"/>
    <w:rsid w:val="00D17958"/>
    <w:rsid w:val="00DC46FA"/>
    <w:rsid w:val="00DD18A2"/>
    <w:rsid w:val="00DD6290"/>
    <w:rsid w:val="00E05BA8"/>
    <w:rsid w:val="00E22D25"/>
    <w:rsid w:val="00F4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93B8A-BA78-4DCE-B7F2-91C56F8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359B"/>
    <w:pPr>
      <w:ind w:left="720"/>
      <w:contextualSpacing/>
    </w:pPr>
  </w:style>
  <w:style w:type="table" w:styleId="Tabelacomgrade">
    <w:name w:val="Table Grid"/>
    <w:basedOn w:val="Tabelanormal"/>
    <w:uiPriority w:val="59"/>
    <w:rsid w:val="00E0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E5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0A5"/>
  </w:style>
  <w:style w:type="paragraph" w:styleId="Rodap">
    <w:name w:val="footer"/>
    <w:basedOn w:val="Normal"/>
    <w:link w:val="RodapChar"/>
    <w:uiPriority w:val="99"/>
    <w:unhideWhenUsed/>
    <w:rsid w:val="000E5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Rafael Bastos</cp:lastModifiedBy>
  <cp:revision>5</cp:revision>
  <dcterms:created xsi:type="dcterms:W3CDTF">2016-08-05T13:27:00Z</dcterms:created>
  <dcterms:modified xsi:type="dcterms:W3CDTF">2016-08-05T14:06:00Z</dcterms:modified>
</cp:coreProperties>
</file>